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A1AFB" w14:textId="3F6A6A02" w:rsidR="00FA419D" w:rsidRDefault="00FA419D" w:rsidP="00032456">
      <w:pPr>
        <w:pStyle w:val="danger-zone"/>
        <w:shd w:val="clear" w:color="auto" w:fill="FFFFFF"/>
        <w:spacing w:before="0" w:beforeAutospacing="0" w:after="0" w:afterAutospacing="0"/>
        <w:rPr>
          <w:rFonts w:ascii="Baskerville-eText" w:hAnsi="Baskerville-eText"/>
          <w:color w:val="222222"/>
          <w:sz w:val="27"/>
          <w:szCs w:val="27"/>
        </w:rPr>
      </w:pPr>
      <w:r>
        <w:rPr>
          <w:rFonts w:ascii="Baskerville-eText" w:hAnsi="Baskerville-eText"/>
          <w:noProof/>
          <w:color w:val="222222"/>
          <w:sz w:val="27"/>
          <w:szCs w:val="27"/>
        </w:rPr>
        <w:drawing>
          <wp:inline distT="0" distB="0" distL="0" distR="0" wp14:anchorId="70719F1F" wp14:editId="06F47581">
            <wp:extent cx="5388429" cy="1355725"/>
            <wp:effectExtent l="203200" t="203200" r="403225" b="396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 masthead.tiff"/>
                    <pic:cNvPicPr/>
                  </pic:nvPicPr>
                  <pic:blipFill rotWithShape="1">
                    <a:blip r:embed="rId4">
                      <a:extLst>
                        <a:ext uri="{28A0092B-C50C-407E-A947-70E740481C1C}">
                          <a14:useLocalDpi xmlns:a14="http://schemas.microsoft.com/office/drawing/2010/main" val="0"/>
                        </a:ext>
                      </a:extLst>
                    </a:blip>
                    <a:srcRect r="9341"/>
                    <a:stretch/>
                  </pic:blipFill>
                  <pic:spPr bwMode="auto">
                    <a:xfrm>
                      <a:off x="0" y="0"/>
                      <a:ext cx="5388429" cy="1355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599C01D" w14:textId="77777777" w:rsidR="00FA419D" w:rsidRDefault="00FA419D" w:rsidP="00FA419D">
      <w:pPr>
        <w:pStyle w:val="danger-zone"/>
        <w:shd w:val="clear" w:color="auto" w:fill="FFFFFF"/>
        <w:spacing w:before="0" w:beforeAutospacing="0" w:after="0" w:afterAutospacing="0"/>
        <w:jc w:val="center"/>
        <w:rPr>
          <w:rFonts w:ascii="Baskerville-eText" w:hAnsi="Baskerville-eText"/>
          <w:color w:val="222222"/>
          <w:sz w:val="27"/>
          <w:szCs w:val="27"/>
        </w:rPr>
      </w:pPr>
      <w:bookmarkStart w:id="0" w:name="_GoBack"/>
      <w:bookmarkEnd w:id="0"/>
    </w:p>
    <w:p w14:paraId="366BE377" w14:textId="77777777" w:rsidR="00FA419D" w:rsidRDefault="00FA419D" w:rsidP="00FA419D">
      <w:pPr>
        <w:pStyle w:val="danger-zone"/>
        <w:shd w:val="clear" w:color="auto" w:fill="FFFFFF"/>
        <w:spacing w:before="0" w:beforeAutospacing="0" w:after="0" w:afterAutospacing="0"/>
        <w:jc w:val="center"/>
        <w:rPr>
          <w:rFonts w:ascii="Baskerville-eText" w:hAnsi="Baskerville-eText"/>
          <w:color w:val="222222"/>
          <w:sz w:val="27"/>
          <w:szCs w:val="27"/>
        </w:rPr>
      </w:pPr>
    </w:p>
    <w:p w14:paraId="5E578118" w14:textId="790CDE71" w:rsidR="00CA247B" w:rsidRDefault="00FA419D" w:rsidP="00032456">
      <w:pPr>
        <w:pStyle w:val="danger-zone"/>
        <w:shd w:val="clear" w:color="auto" w:fill="FFFFFF"/>
        <w:spacing w:before="0" w:beforeAutospacing="0" w:after="0" w:afterAutospacing="0"/>
        <w:jc w:val="center"/>
        <w:rPr>
          <w:rFonts w:ascii="Baskerville-eText" w:hAnsi="Baskerville-eText"/>
          <w:color w:val="222222"/>
          <w:sz w:val="27"/>
          <w:szCs w:val="27"/>
        </w:rPr>
      </w:pPr>
      <w:r w:rsidRPr="00FA419D">
        <w:rPr>
          <w:rFonts w:ascii="Baskerville-eText" w:hAnsi="Baskerville-eText"/>
          <w:noProof/>
          <w:color w:val="222222"/>
          <w:sz w:val="27"/>
          <w:szCs w:val="27"/>
        </w:rPr>
        <w:drawing>
          <wp:inline distT="0" distB="0" distL="0" distR="0" wp14:anchorId="7DBE8B6F" wp14:editId="3A290FA4">
            <wp:extent cx="3148965" cy="1771293"/>
            <wp:effectExtent l="203200" t="203200" r="407035" b="413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54850" cy="1774604"/>
                    </a:xfrm>
                    <a:prstGeom prst="rect">
                      <a:avLst/>
                    </a:prstGeom>
                    <a:ln>
                      <a:noFill/>
                    </a:ln>
                    <a:effectLst>
                      <a:outerShdw blurRad="292100" dist="139700" dir="2700000" algn="tl" rotWithShape="0">
                        <a:srgbClr val="333333">
                          <a:alpha val="65000"/>
                        </a:srgbClr>
                      </a:outerShdw>
                    </a:effectLst>
                  </pic:spPr>
                </pic:pic>
              </a:graphicData>
            </a:graphic>
          </wp:inline>
        </w:drawing>
      </w:r>
    </w:p>
    <w:p w14:paraId="5E006B5B" w14:textId="77777777" w:rsidR="00CA247B" w:rsidRDefault="00CA247B" w:rsidP="00CA247B">
      <w:pPr>
        <w:pStyle w:val="danger-zone"/>
        <w:shd w:val="clear" w:color="auto" w:fill="FFFFFF"/>
        <w:spacing w:before="0" w:beforeAutospacing="0" w:after="0" w:afterAutospacing="0"/>
        <w:rPr>
          <w:rFonts w:ascii="Baskerville-eText" w:hAnsi="Baskerville-eText"/>
          <w:color w:val="222222"/>
          <w:sz w:val="27"/>
          <w:szCs w:val="27"/>
        </w:rPr>
      </w:pPr>
    </w:p>
    <w:p w14:paraId="5449E6C9" w14:textId="643D831C" w:rsidR="00032456" w:rsidRDefault="00032456" w:rsidP="00CA247B">
      <w:pPr>
        <w:pStyle w:val="danger-zone"/>
        <w:shd w:val="clear" w:color="auto" w:fill="FFFFFF"/>
        <w:spacing w:before="0" w:beforeAutospacing="0" w:after="0" w:afterAutospacing="0"/>
        <w:rPr>
          <w:rFonts w:ascii="Baskerville-eText" w:hAnsi="Baskerville-eText"/>
          <w:color w:val="222222"/>
          <w:sz w:val="27"/>
          <w:szCs w:val="27"/>
        </w:rPr>
      </w:pPr>
      <w:r>
        <w:rPr>
          <w:rFonts w:ascii="Baskerville-eText" w:hAnsi="Baskerville-eText"/>
          <w:color w:val="222222"/>
          <w:sz w:val="27"/>
          <w:szCs w:val="27"/>
        </w:rPr>
        <w:t>by IRA BYOCK</w:t>
      </w:r>
      <w:r>
        <w:rPr>
          <w:rFonts w:ascii="Baskerville-eText" w:hAnsi="Baskerville-eText"/>
          <w:color w:val="222222"/>
          <w:sz w:val="27"/>
          <w:szCs w:val="27"/>
        </w:rPr>
        <w:tab/>
      </w:r>
    </w:p>
    <w:p w14:paraId="32BAE898" w14:textId="4779D6ED" w:rsidR="00032456" w:rsidRDefault="00032456" w:rsidP="00CA247B">
      <w:pPr>
        <w:pStyle w:val="danger-zone"/>
        <w:shd w:val="clear" w:color="auto" w:fill="FFFFFF"/>
        <w:spacing w:before="0" w:beforeAutospacing="0" w:after="0" w:afterAutospacing="0"/>
        <w:rPr>
          <w:rFonts w:ascii="Baskerville-eText" w:hAnsi="Baskerville-eText"/>
          <w:color w:val="222222"/>
          <w:sz w:val="27"/>
          <w:szCs w:val="27"/>
        </w:rPr>
      </w:pPr>
      <w:r>
        <w:rPr>
          <w:rFonts w:ascii="Baskerville-eText" w:hAnsi="Baskerville-eText"/>
          <w:color w:val="222222"/>
          <w:sz w:val="27"/>
          <w:szCs w:val="27"/>
        </w:rPr>
        <w:t>June 10, 2016</w:t>
      </w:r>
    </w:p>
    <w:p w14:paraId="512362A4" w14:textId="77777777" w:rsidR="00CA247B" w:rsidRDefault="00CA247B" w:rsidP="00CA247B">
      <w:pPr>
        <w:pStyle w:val="danger-zone"/>
        <w:shd w:val="clear" w:color="auto" w:fill="FFFFFF"/>
        <w:spacing w:before="0" w:beforeAutospacing="0" w:after="0" w:afterAutospacing="0"/>
        <w:rPr>
          <w:rFonts w:ascii="Baskerville-eText" w:hAnsi="Baskerville-eText"/>
          <w:color w:val="222222"/>
          <w:sz w:val="27"/>
          <w:szCs w:val="27"/>
        </w:rPr>
      </w:pPr>
    </w:p>
    <w:p w14:paraId="5CB237A2" w14:textId="3C0D2F9F" w:rsidR="007214DE" w:rsidRDefault="00CA247B" w:rsidP="007214DE">
      <w:pPr>
        <w:pStyle w:val="danger-zone"/>
        <w:shd w:val="clear" w:color="auto" w:fill="FFFFFF"/>
        <w:spacing w:before="0" w:beforeAutospacing="0" w:after="0" w:afterAutospacing="0"/>
        <w:rPr>
          <w:rFonts w:ascii="Baskerville-eText" w:hAnsi="Baskerville-eText"/>
          <w:color w:val="222222"/>
          <w:sz w:val="27"/>
          <w:szCs w:val="27"/>
        </w:rPr>
      </w:pPr>
      <w:r>
        <w:rPr>
          <w:rFonts w:ascii="Baskerville-eText" w:hAnsi="Baskerville-eText"/>
          <w:color w:val="222222"/>
          <w:sz w:val="27"/>
          <w:szCs w:val="27"/>
        </w:rPr>
        <w:t>Health care costs are killing us. Experts now talk about the</w:t>
      </w:r>
      <w:r>
        <w:rPr>
          <w:rStyle w:val="apple-converted-space"/>
          <w:rFonts w:ascii="Baskerville-eText" w:hAnsi="Baskerville-eText"/>
          <w:color w:val="222222"/>
          <w:sz w:val="27"/>
          <w:szCs w:val="27"/>
        </w:rPr>
        <w:t> </w:t>
      </w:r>
      <w:hyperlink r:id="rId6" w:tgtFrame="_blank" w:history="1">
        <w:r>
          <w:rPr>
            <w:rStyle w:val="Hyperlink"/>
            <w:rFonts w:ascii="Baskerville-eText" w:hAnsi="Baskerville-eText"/>
            <w:color w:val="1FADB6"/>
            <w:sz w:val="27"/>
            <w:szCs w:val="27"/>
            <w:u w:val="none"/>
          </w:rPr>
          <w:t>financial toxicity</w:t>
        </w:r>
      </w:hyperlink>
      <w:r>
        <w:rPr>
          <w:rStyle w:val="apple-converted-space"/>
          <w:rFonts w:ascii="Baskerville-eText" w:hAnsi="Baskerville-eText"/>
          <w:color w:val="222222"/>
          <w:sz w:val="27"/>
          <w:szCs w:val="27"/>
        </w:rPr>
        <w:t> </w:t>
      </w:r>
      <w:r>
        <w:rPr>
          <w:rFonts w:ascii="Baskerville-eText" w:hAnsi="Baskerville-eText"/>
          <w:color w:val="222222"/>
          <w:sz w:val="27"/>
          <w:szCs w:val="27"/>
        </w:rPr>
        <w:t>of expensive treatments for cancers, autoimmune diseases, and chronic viral infections. The sicker you are, the more it hurts. During the American Society of Clinical Oncology meeting this month, doctors</w:t>
      </w:r>
      <w:r w:rsidR="007214DE">
        <w:rPr>
          <w:rFonts w:ascii="Baskerville-eText" w:hAnsi="Baskerville-eText"/>
          <w:color w:val="222222"/>
          <w:sz w:val="27"/>
          <w:szCs w:val="27"/>
        </w:rPr>
        <w:t xml:space="preserve"> </w:t>
      </w:r>
      <w:hyperlink r:id="rId7" w:tgtFrame="_blank" w:history="1">
        <w:r>
          <w:rPr>
            <w:rStyle w:val="Hyperlink"/>
            <w:rFonts w:ascii="Baskerville-eText" w:hAnsi="Baskerville-eText"/>
            <w:color w:val="1FADB6"/>
            <w:sz w:val="27"/>
            <w:szCs w:val="27"/>
            <w:u w:val="none"/>
          </w:rPr>
          <w:t>debated</w:t>
        </w:r>
      </w:hyperlink>
      <w:r>
        <w:rPr>
          <w:rStyle w:val="apple-converted-space"/>
          <w:rFonts w:ascii="Baskerville-eText" w:hAnsi="Baskerville-eText"/>
          <w:color w:val="222222"/>
          <w:sz w:val="27"/>
          <w:szCs w:val="27"/>
        </w:rPr>
        <w:t> </w:t>
      </w:r>
      <w:r>
        <w:rPr>
          <w:rFonts w:ascii="Baskerville-eText" w:hAnsi="Baskerville-eText"/>
          <w:color w:val="222222"/>
          <w:sz w:val="27"/>
          <w:szCs w:val="27"/>
        </w:rPr>
        <w:t>whether the advantages of</w:t>
      </w:r>
      <w:r>
        <w:rPr>
          <w:rStyle w:val="apple-converted-space"/>
          <w:rFonts w:ascii="Baskerville-eText" w:hAnsi="Baskerville-eText"/>
          <w:color w:val="222222"/>
          <w:sz w:val="27"/>
          <w:szCs w:val="27"/>
        </w:rPr>
        <w:t> </w:t>
      </w:r>
      <w:hyperlink r:id="rId8" w:tgtFrame="_blank" w:history="1">
        <w:r>
          <w:rPr>
            <w:rStyle w:val="Hyperlink"/>
            <w:rFonts w:ascii="Baskerville-eText" w:hAnsi="Baskerville-eText"/>
            <w:color w:val="1FADB6"/>
            <w:sz w:val="27"/>
            <w:szCs w:val="27"/>
            <w:u w:val="none"/>
          </w:rPr>
          <w:t>new treatments</w:t>
        </w:r>
      </w:hyperlink>
      <w:r>
        <w:rPr>
          <w:rStyle w:val="apple-converted-space"/>
          <w:rFonts w:ascii="Baskerville-eText" w:hAnsi="Baskerville-eText"/>
          <w:color w:val="222222"/>
          <w:sz w:val="27"/>
          <w:szCs w:val="27"/>
        </w:rPr>
        <w:t> </w:t>
      </w:r>
      <w:r>
        <w:rPr>
          <w:rFonts w:ascii="Baskerville-eText" w:hAnsi="Baskerville-eText"/>
          <w:color w:val="222222"/>
          <w:sz w:val="27"/>
          <w:szCs w:val="27"/>
        </w:rPr>
        <w:t>for lethal cancers are worth the adverse consequences of their exorbitant costs. Sadly, far too much of our health care spending goes to treatments that have little effect, or that actually harm people.</w:t>
      </w:r>
    </w:p>
    <w:p w14:paraId="60E8C492" w14:textId="77777777" w:rsidR="007214DE" w:rsidRDefault="007214DE" w:rsidP="007214DE">
      <w:pPr>
        <w:pStyle w:val="danger-zone"/>
        <w:shd w:val="clear" w:color="auto" w:fill="FFFFFF"/>
        <w:spacing w:before="0" w:beforeAutospacing="0" w:after="0" w:afterAutospacing="0"/>
        <w:rPr>
          <w:rFonts w:ascii="Baskerville-eText" w:hAnsi="Baskerville-eText"/>
          <w:color w:val="222222"/>
          <w:sz w:val="27"/>
          <w:szCs w:val="27"/>
        </w:rPr>
      </w:pPr>
    </w:p>
    <w:p w14:paraId="78CBBC9E" w14:textId="77777777" w:rsidR="00CA247B" w:rsidRDefault="00CA247B" w:rsidP="00CA247B">
      <w:pPr>
        <w:pStyle w:val="danger-zone"/>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This brings me to a question that is awkward for a physician to ask: Why do we pay for bad care?</w:t>
      </w:r>
    </w:p>
    <w:p w14:paraId="3B0FE958" w14:textId="77777777" w:rsidR="00CA247B" w:rsidRDefault="00CA247B" w:rsidP="00CA247B">
      <w:pPr>
        <w:pStyle w:val="danger-zone"/>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The Institute of Medicine has</w:t>
      </w:r>
      <w:r>
        <w:rPr>
          <w:rStyle w:val="apple-converted-space"/>
          <w:rFonts w:ascii="Baskerville-eText" w:hAnsi="Baskerville-eText"/>
          <w:color w:val="222222"/>
          <w:sz w:val="27"/>
          <w:szCs w:val="27"/>
        </w:rPr>
        <w:t> </w:t>
      </w:r>
      <w:hyperlink r:id="rId9" w:tgtFrame="_blank" w:history="1">
        <w:r>
          <w:rPr>
            <w:rStyle w:val="Hyperlink"/>
            <w:rFonts w:ascii="Baskerville-eText" w:hAnsi="Baskerville-eText"/>
            <w:color w:val="1FADB6"/>
            <w:sz w:val="27"/>
            <w:szCs w:val="27"/>
            <w:u w:val="none"/>
          </w:rPr>
          <w:t>defined good care</w:t>
        </w:r>
      </w:hyperlink>
      <w:r>
        <w:rPr>
          <w:rStyle w:val="apple-converted-space"/>
          <w:rFonts w:ascii="Baskerville-eText" w:hAnsi="Baskerville-eText"/>
          <w:color w:val="222222"/>
          <w:sz w:val="27"/>
          <w:szCs w:val="27"/>
        </w:rPr>
        <w:t> </w:t>
      </w:r>
      <w:r>
        <w:rPr>
          <w:rFonts w:ascii="Baskerville-eText" w:hAnsi="Baskerville-eText"/>
          <w:color w:val="222222"/>
          <w:sz w:val="27"/>
          <w:szCs w:val="27"/>
        </w:rPr>
        <w:t xml:space="preserve">as health care that is safe, effective, timely, equitable, efficient, and patient-centered (customized to the needs and values </w:t>
      </w:r>
      <w:r>
        <w:rPr>
          <w:rFonts w:ascii="Baskerville-eText" w:hAnsi="Baskerville-eText"/>
          <w:color w:val="222222"/>
          <w:sz w:val="27"/>
          <w:szCs w:val="27"/>
        </w:rPr>
        <w:lastRenderedPageBreak/>
        <w:t>of each individual). This definition has given rise to best practice guidelines and measures that health systems, clinicians, oversight bodies, and payers can apply in monitoring the quality of health care services and outcomes.</w:t>
      </w:r>
    </w:p>
    <w:p w14:paraId="6C7796D4"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In the</w:t>
      </w:r>
      <w:r>
        <w:rPr>
          <w:rStyle w:val="apple-converted-space"/>
          <w:rFonts w:ascii="Baskerville-eText" w:hAnsi="Baskerville-eText"/>
          <w:color w:val="222222"/>
          <w:sz w:val="27"/>
          <w:szCs w:val="27"/>
        </w:rPr>
        <w:t> </w:t>
      </w:r>
      <w:hyperlink r:id="rId10" w:tgtFrame="_blank" w:history="1">
        <w:r>
          <w:rPr>
            <w:rStyle w:val="Hyperlink"/>
            <w:rFonts w:ascii="Baskerville-eText" w:hAnsi="Baskerville-eText"/>
            <w:color w:val="1FADB6"/>
            <w:sz w:val="27"/>
            <w:szCs w:val="27"/>
          </w:rPr>
          <w:t>Choosing Wisely</w:t>
        </w:r>
      </w:hyperlink>
      <w:r>
        <w:rPr>
          <w:rStyle w:val="apple-converted-space"/>
          <w:rFonts w:ascii="Baskerville-eText" w:hAnsi="Baskerville-eText"/>
          <w:color w:val="222222"/>
          <w:sz w:val="27"/>
          <w:szCs w:val="27"/>
        </w:rPr>
        <w:t> </w:t>
      </w:r>
      <w:r>
        <w:rPr>
          <w:rFonts w:ascii="Baskerville-eText" w:hAnsi="Baskerville-eText"/>
          <w:color w:val="222222"/>
          <w:sz w:val="27"/>
          <w:szCs w:val="27"/>
        </w:rPr>
        <w:t>campaign, launched in 2010, more than 50 medical specialty societies have identified practices with unproven benefits, avoidable harms, or unnecessary expenses that doctors and patients should question. It is an opportunity for insurers, Medicare, and Medicaid to apply the medical profession’s own guidelines to drive quality improvement.</w:t>
      </w:r>
    </w:p>
    <w:p w14:paraId="42E23641"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Not everyone is getting the message. Here are two examples that I’ve seen all too often in my years practicing palliative care, which aims to improve quality of life for seriously ill people and their families.</w:t>
      </w:r>
    </w:p>
    <w:p w14:paraId="7B484389"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b/>
          <w:bCs/>
          <w:color w:val="222222"/>
          <w:sz w:val="27"/>
          <w:szCs w:val="27"/>
        </w:rPr>
        <w:t>Feeding tubes.</w:t>
      </w:r>
      <w:r>
        <w:rPr>
          <w:rStyle w:val="apple-converted-space"/>
          <w:rFonts w:ascii="Baskerville-eText" w:hAnsi="Baskerville-eText"/>
          <w:color w:val="222222"/>
          <w:sz w:val="27"/>
          <w:szCs w:val="27"/>
        </w:rPr>
        <w:t> </w:t>
      </w:r>
      <w:r>
        <w:rPr>
          <w:rFonts w:ascii="Baskerville-eText" w:hAnsi="Baskerville-eText"/>
          <w:color w:val="222222"/>
          <w:sz w:val="27"/>
          <w:szCs w:val="27"/>
        </w:rPr>
        <w:t>It was once common practice to surgically place feeding tubes into the stomachs of people with late-stage dementia who had trouble eating. By the late 1990s, solid evidence showed that this did not extend life or improve quality of life. In fact, it often made weak and bewildered people feel anxious and miserable. Slow feeding by hand works far better. The medical associations that represent geriatrics, long-term care, and palliative medicine all recommend</w:t>
      </w:r>
      <w:r>
        <w:rPr>
          <w:rStyle w:val="apple-converted-space"/>
          <w:rFonts w:ascii="Baskerville-eText" w:hAnsi="Baskerville-eText"/>
          <w:color w:val="222222"/>
          <w:sz w:val="27"/>
          <w:szCs w:val="27"/>
        </w:rPr>
        <w:t> </w:t>
      </w:r>
      <w:hyperlink r:id="rId11" w:tgtFrame="_blank" w:history="1">
        <w:r>
          <w:rPr>
            <w:rStyle w:val="Hyperlink"/>
            <w:rFonts w:ascii="Baskerville-eText" w:hAnsi="Baskerville-eText"/>
            <w:color w:val="1FADB6"/>
            <w:sz w:val="27"/>
            <w:szCs w:val="27"/>
          </w:rPr>
          <w:t>not placing feeding tubes</w:t>
        </w:r>
      </w:hyperlink>
      <w:r>
        <w:rPr>
          <w:rStyle w:val="apple-converted-space"/>
          <w:rFonts w:ascii="Baskerville-eText" w:hAnsi="Baskerville-eText"/>
          <w:color w:val="222222"/>
          <w:sz w:val="27"/>
          <w:szCs w:val="27"/>
        </w:rPr>
        <w:t> </w:t>
      </w:r>
      <w:r>
        <w:rPr>
          <w:rFonts w:ascii="Baskerville-eText" w:hAnsi="Baskerville-eText"/>
          <w:color w:val="222222"/>
          <w:sz w:val="27"/>
          <w:szCs w:val="27"/>
        </w:rPr>
        <w:t>in dementia patients. In some places, like Salt Lake City and Portland, Ore., only about 1 percent of dementia patients get feeding tubes. The national average, however, is 6 percent, and it’s more than 12 percent in Los Angeles.</w:t>
      </w:r>
    </w:p>
    <w:p w14:paraId="1E53DC80" w14:textId="77777777" w:rsidR="00CA247B" w:rsidRDefault="00CA247B" w:rsidP="00CA247B">
      <w:pPr>
        <w:rPr>
          <w:rFonts w:eastAsia="Times New Roman"/>
        </w:rPr>
      </w:pPr>
      <w:r>
        <w:rPr>
          <w:rFonts w:ascii="Baskerville-eText" w:eastAsia="Times New Roman" w:hAnsi="Baskerville-eText"/>
          <w:b/>
          <w:bCs/>
          <w:color w:val="222222"/>
          <w:sz w:val="27"/>
          <w:szCs w:val="27"/>
          <w:shd w:val="clear" w:color="auto" w:fill="FFFFFF"/>
        </w:rPr>
        <w:t>Radiation therapy when cancer spreads to bones.</w:t>
      </w:r>
      <w:r>
        <w:rPr>
          <w:rStyle w:val="apple-converted-space"/>
          <w:rFonts w:ascii="Baskerville-eText" w:eastAsia="Times New Roman" w:hAnsi="Baskerville-eText"/>
          <w:color w:val="222222"/>
          <w:sz w:val="27"/>
          <w:szCs w:val="27"/>
          <w:shd w:val="clear" w:color="auto" w:fill="FFFFFF"/>
        </w:rPr>
        <w:t> </w:t>
      </w:r>
      <w:r>
        <w:rPr>
          <w:rFonts w:ascii="Baskerville-eText" w:eastAsia="Times New Roman" w:hAnsi="Baskerville-eText"/>
          <w:color w:val="222222"/>
          <w:sz w:val="27"/>
          <w:szCs w:val="27"/>
          <w:shd w:val="clear" w:color="auto" w:fill="FFFFFF"/>
        </w:rPr>
        <w:t>Cancer often spreads (metastasizes) to the bones. When this happens, a single dose of targeted radiation usually alleviates pain and halts local tumor growth. This well-proven approach avoids the disruption of traveling to and from treatment centers to get repeated doses for already frail patients. It’s also a lot less expensive. If pain returns months down the line, one additional treatment commonly suffices. Single-dose radiation therapy is recommended by the</w:t>
      </w:r>
      <w:r>
        <w:rPr>
          <w:rStyle w:val="apple-converted-space"/>
          <w:rFonts w:ascii="Baskerville-eText" w:eastAsia="Times New Roman" w:hAnsi="Baskerville-eText"/>
          <w:color w:val="222222"/>
          <w:sz w:val="27"/>
          <w:szCs w:val="27"/>
          <w:shd w:val="clear" w:color="auto" w:fill="FFFFFF"/>
        </w:rPr>
        <w:t> </w:t>
      </w:r>
      <w:hyperlink r:id="rId12" w:tgtFrame="_blank" w:history="1">
        <w:r>
          <w:rPr>
            <w:rStyle w:val="Hyperlink"/>
            <w:rFonts w:ascii="Baskerville-eText" w:eastAsia="Times New Roman" w:hAnsi="Baskerville-eText"/>
            <w:color w:val="1FADB6"/>
            <w:sz w:val="27"/>
            <w:szCs w:val="27"/>
            <w:shd w:val="clear" w:color="auto" w:fill="FFFFFF"/>
          </w:rPr>
          <w:t>American Society for Radiation Oncology</w:t>
        </w:r>
      </w:hyperlink>
      <w:r>
        <w:rPr>
          <w:rFonts w:ascii="Baskerville-eText" w:eastAsia="Times New Roman" w:hAnsi="Baskerville-eText"/>
          <w:color w:val="222222"/>
          <w:sz w:val="27"/>
          <w:szCs w:val="27"/>
          <w:shd w:val="clear" w:color="auto" w:fill="FFFFFF"/>
        </w:rPr>
        <w:t>. It has long been standard practice in Canada and Europe, and is included in</w:t>
      </w:r>
      <w:r>
        <w:rPr>
          <w:rStyle w:val="apple-converted-space"/>
          <w:rFonts w:ascii="Baskerville-eText" w:eastAsia="Times New Roman" w:hAnsi="Baskerville-eText"/>
          <w:color w:val="222222"/>
          <w:sz w:val="27"/>
          <w:szCs w:val="27"/>
          <w:shd w:val="clear" w:color="auto" w:fill="FFFFFF"/>
        </w:rPr>
        <w:t> </w:t>
      </w:r>
      <w:hyperlink r:id="rId13" w:tgtFrame="_blank" w:history="1">
        <w:r>
          <w:rPr>
            <w:rStyle w:val="Hyperlink"/>
            <w:rFonts w:ascii="Baskerville-eText" w:eastAsia="Times New Roman" w:hAnsi="Baskerville-eText"/>
            <w:color w:val="1FADB6"/>
            <w:sz w:val="27"/>
            <w:szCs w:val="27"/>
            <w:shd w:val="clear" w:color="auto" w:fill="FFFFFF"/>
          </w:rPr>
          <w:t>Choosing Wisely</w:t>
        </w:r>
      </w:hyperlink>
      <w:r>
        <w:rPr>
          <w:rFonts w:ascii="Baskerville-eText" w:eastAsia="Times New Roman" w:hAnsi="Baskerville-eText"/>
          <w:color w:val="222222"/>
          <w:sz w:val="27"/>
          <w:szCs w:val="27"/>
          <w:shd w:val="clear" w:color="auto" w:fill="FFFFFF"/>
        </w:rPr>
        <w:t>. Yet most Americans who develop bone metastases are still subjected to multiple doses of radiation therapy, at over</w:t>
      </w:r>
      <w:r>
        <w:rPr>
          <w:rStyle w:val="apple-converted-space"/>
          <w:rFonts w:ascii="Baskerville-eText" w:eastAsia="Times New Roman" w:hAnsi="Baskerville-eText"/>
          <w:color w:val="222222"/>
          <w:sz w:val="27"/>
          <w:szCs w:val="27"/>
          <w:shd w:val="clear" w:color="auto" w:fill="FFFFFF"/>
        </w:rPr>
        <w:t> </w:t>
      </w:r>
      <w:hyperlink r:id="rId14" w:tgtFrame="_blank" w:history="1">
        <w:r>
          <w:rPr>
            <w:rStyle w:val="Hyperlink"/>
            <w:rFonts w:ascii="Baskerville-eText" w:eastAsia="Times New Roman" w:hAnsi="Baskerville-eText"/>
            <w:color w:val="1FADB6"/>
            <w:sz w:val="27"/>
            <w:szCs w:val="27"/>
            <w:shd w:val="clear" w:color="auto" w:fill="FFFFFF"/>
          </w:rPr>
          <w:t>twice the cost</w:t>
        </w:r>
      </w:hyperlink>
      <w:r>
        <w:rPr>
          <w:rFonts w:ascii="Baskerville-eText" w:eastAsia="Times New Roman" w:hAnsi="Baskerville-eText"/>
          <w:color w:val="222222"/>
          <w:sz w:val="27"/>
          <w:szCs w:val="27"/>
          <w:shd w:val="clear" w:color="auto" w:fill="FFFFFF"/>
        </w:rPr>
        <w:t>.</w:t>
      </w:r>
    </w:p>
    <w:p w14:paraId="123EEC8D" w14:textId="77777777" w:rsidR="0008526F" w:rsidRDefault="0008526F"/>
    <w:p w14:paraId="5F44902E"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Medicare and insurance companies underwrite both of these ineffective and potentially harmful practices. And there are many more examples.</w:t>
      </w:r>
    </w:p>
    <w:p w14:paraId="645C0DB9"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It isn’t profit that drives doctors to prescribe treatments with significant burdens and little benefit. Instead, it is often the persistent assumption, engrained by our medical training, that more is better when it comes to treating serious illness. There is also the tendency to hope that the patient in front of you will be the exception, the one who will benefit from more</w:t>
      </w:r>
      <w:r>
        <w:rPr>
          <w:rStyle w:val="apple-converted-space"/>
          <w:rFonts w:ascii="Baskerville-eText" w:hAnsi="Baskerville-eText"/>
          <w:color w:val="222222"/>
          <w:sz w:val="27"/>
          <w:szCs w:val="27"/>
        </w:rPr>
        <w:t> </w:t>
      </w:r>
      <w:hyperlink r:id="rId15" w:tgtFrame="_blank" w:history="1">
        <w:r>
          <w:rPr>
            <w:rStyle w:val="Hyperlink"/>
            <w:rFonts w:ascii="Baskerville-eText" w:hAnsi="Baskerville-eText"/>
            <w:color w:val="1FADB6"/>
            <w:sz w:val="27"/>
            <w:szCs w:val="27"/>
          </w:rPr>
          <w:t>aggressive treatment</w:t>
        </w:r>
      </w:hyperlink>
      <w:r>
        <w:rPr>
          <w:rFonts w:ascii="Baskerville-eText" w:hAnsi="Baskerville-eText"/>
          <w:color w:val="222222"/>
          <w:sz w:val="27"/>
          <w:szCs w:val="27"/>
        </w:rPr>
        <w:t>.</w:t>
      </w:r>
    </w:p>
    <w:p w14:paraId="3A876A51" w14:textId="5CC9FEC3"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Here’s one way to fix the problem, particularly for patients with advanced disease: Payers could curtail ineffective practices while simultaneously honoring legitimate medical or religious exceptions and avoiding the specter of rationing by requiring a palliative care consultation or, at the very least, documented conversations between doctors and patients, usually with their families. In these discussions, doctors and patients would decide whether the potential benefits of a proposed treatment are worth the expected burdens and risks. During the</w:t>
      </w:r>
      <w:r w:rsidR="007214DE">
        <w:rPr>
          <w:rFonts w:ascii="Baskerville-eText" w:hAnsi="Baskerville-eText"/>
          <w:color w:val="222222"/>
          <w:sz w:val="27"/>
          <w:szCs w:val="27"/>
        </w:rPr>
        <w:t xml:space="preserve"> </w:t>
      </w:r>
      <w:hyperlink r:id="rId16" w:tgtFrame="_blank" w:history="1">
        <w:r>
          <w:rPr>
            <w:rStyle w:val="Hyperlink"/>
            <w:rFonts w:ascii="Baskerville-eText" w:hAnsi="Baskerville-eText"/>
            <w:color w:val="1FADB6"/>
            <w:sz w:val="27"/>
            <w:szCs w:val="27"/>
          </w:rPr>
          <w:t>death panel debacle of 2009</w:t>
        </w:r>
      </w:hyperlink>
      <w:r>
        <w:rPr>
          <w:rFonts w:ascii="Baskerville-eText" w:hAnsi="Baskerville-eText"/>
          <w:color w:val="222222"/>
          <w:sz w:val="27"/>
          <w:szCs w:val="27"/>
        </w:rPr>
        <w:t>, any proposal to curtail paying for specific disease treatments would have been dead on arrival.</w:t>
      </w:r>
    </w:p>
    <w:p w14:paraId="780685C8"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Things are different today. An openness for bold, corrective actions across the political spectrum has been fostered by the overwhelming evidence and, perhaps more important, the painful personal experiences of leaders in government, business, and religion who have witnessed the effects of ill-considered treatments on their own family members.</w:t>
      </w:r>
    </w:p>
    <w:p w14:paraId="2D473A20" w14:textId="77777777" w:rsidR="00CA247B" w:rsidRDefault="00CA247B" w:rsidP="00CA247B">
      <w:pPr>
        <w:pStyle w:val="NormalWeb"/>
        <w:shd w:val="clear" w:color="auto" w:fill="FFFFFF"/>
        <w:spacing w:before="0" w:beforeAutospacing="0" w:after="300" w:afterAutospacing="0"/>
        <w:rPr>
          <w:rFonts w:ascii="Baskerville-eText" w:hAnsi="Baskerville-eText"/>
          <w:color w:val="222222"/>
          <w:sz w:val="27"/>
          <w:szCs w:val="27"/>
        </w:rPr>
      </w:pPr>
      <w:r>
        <w:rPr>
          <w:rFonts w:ascii="Baskerville-eText" w:hAnsi="Baskerville-eText"/>
          <w:color w:val="222222"/>
          <w:sz w:val="27"/>
          <w:szCs w:val="27"/>
        </w:rPr>
        <w:t>There is no moral imperative to pay for ineffective or harmful treatments; indeed, there is a moral imperative not to.</w:t>
      </w:r>
    </w:p>
    <w:p w14:paraId="208DA9D4" w14:textId="77777777" w:rsidR="00CA247B" w:rsidRPr="00CA247B" w:rsidRDefault="00CA247B" w:rsidP="00CA247B">
      <w:pPr>
        <w:shd w:val="clear" w:color="auto" w:fill="FFFFFF"/>
        <w:spacing w:after="300"/>
        <w:rPr>
          <w:rFonts w:ascii="Baskerville-eText" w:eastAsiaTheme="minorEastAsia" w:hAnsi="Baskerville-eText" w:cs="Times New Roman"/>
          <w:color w:val="222222"/>
          <w:sz w:val="27"/>
          <w:szCs w:val="27"/>
        </w:rPr>
      </w:pPr>
      <w:r w:rsidRPr="00CA247B">
        <w:rPr>
          <w:rFonts w:ascii="Baskerville-eText" w:eastAsiaTheme="minorEastAsia" w:hAnsi="Baskerville-eText" w:cs="Times New Roman"/>
          <w:color w:val="222222"/>
          <w:sz w:val="27"/>
          <w:szCs w:val="27"/>
        </w:rPr>
        <w:t>Requiring second opinions or prior authorization for high-risk, low-yield procedures would make doctors think carefully about which patients are among the majority who will be harmed and which ones are truly the exceptions. Of course, this would require Medicare and health plan administrators to put into place systems for swift and fair peer review for both prior authorization and appeals.</w:t>
      </w:r>
    </w:p>
    <w:p w14:paraId="75B8F970" w14:textId="77777777" w:rsidR="00CA247B" w:rsidRPr="00CA247B" w:rsidRDefault="00CA247B" w:rsidP="00CA247B">
      <w:pPr>
        <w:shd w:val="clear" w:color="auto" w:fill="FFFFFF"/>
        <w:spacing w:after="300"/>
        <w:rPr>
          <w:rFonts w:ascii="Baskerville-eText" w:eastAsiaTheme="minorEastAsia" w:hAnsi="Baskerville-eText" w:cs="Times New Roman"/>
          <w:color w:val="222222"/>
          <w:sz w:val="27"/>
          <w:szCs w:val="27"/>
        </w:rPr>
      </w:pPr>
      <w:r w:rsidRPr="00CA247B">
        <w:rPr>
          <w:rFonts w:ascii="Baskerville-eText" w:eastAsiaTheme="minorEastAsia" w:hAnsi="Baskerville-eText" w:cs="Times New Roman"/>
          <w:color w:val="222222"/>
          <w:sz w:val="27"/>
          <w:szCs w:val="27"/>
        </w:rPr>
        <w:t>This is strong medicine. But financial disincentives can work. Since October 2012, when Medicare began modestly penalizing hospitals for </w:t>
      </w:r>
      <w:hyperlink r:id="rId17" w:tgtFrame="_blank" w:history="1">
        <w:r w:rsidRPr="00CA247B">
          <w:rPr>
            <w:rFonts w:ascii="Baskerville-eText" w:eastAsiaTheme="minorEastAsia" w:hAnsi="Baskerville-eText" w:cs="Times New Roman"/>
            <w:color w:val="1FADB6"/>
            <w:sz w:val="27"/>
            <w:szCs w:val="27"/>
          </w:rPr>
          <w:t>readmitting patients</w:t>
        </w:r>
      </w:hyperlink>
      <w:r w:rsidRPr="00CA247B">
        <w:rPr>
          <w:rFonts w:ascii="Baskerville-eText" w:eastAsiaTheme="minorEastAsia" w:hAnsi="Baskerville-eText" w:cs="Times New Roman"/>
          <w:color w:val="222222"/>
          <w:sz w:val="27"/>
          <w:szCs w:val="27"/>
        </w:rPr>
        <w:t> who had been discharged less than 30 days before, readmission rates have fallen. That policy is </w:t>
      </w:r>
      <w:hyperlink r:id="rId18" w:tgtFrame="_blank" w:history="1">
        <w:r w:rsidRPr="00CA247B">
          <w:rPr>
            <w:rFonts w:ascii="Baskerville-eText" w:eastAsiaTheme="minorEastAsia" w:hAnsi="Baskerville-eText" w:cs="Times New Roman"/>
            <w:color w:val="1FADB6"/>
            <w:sz w:val="27"/>
            <w:szCs w:val="27"/>
          </w:rPr>
          <w:t>not perfect</w:t>
        </w:r>
      </w:hyperlink>
      <w:r w:rsidRPr="00CA247B">
        <w:rPr>
          <w:rFonts w:ascii="Baskerville-eText" w:eastAsiaTheme="minorEastAsia" w:hAnsi="Baskerville-eText" w:cs="Times New Roman"/>
          <w:color w:val="222222"/>
          <w:sz w:val="27"/>
          <w:szCs w:val="27"/>
        </w:rPr>
        <w:t> — some repeated hospitalizations are warranted — but the approach is worth refining. Noticeably more attention is now being paid to details of discharge planning, communication, transitions of care, and close follow-up, all of which are good for patients.</w:t>
      </w:r>
    </w:p>
    <w:p w14:paraId="54462C35" w14:textId="77777777" w:rsidR="00CA247B" w:rsidRDefault="00CA247B">
      <w:pPr>
        <w:rPr>
          <w:rFonts w:ascii="Baskerville-eText" w:eastAsia="Times New Roman" w:hAnsi="Baskerville-eText"/>
          <w:color w:val="222222"/>
          <w:sz w:val="27"/>
          <w:szCs w:val="27"/>
          <w:shd w:val="clear" w:color="auto" w:fill="FFFFFF"/>
        </w:rPr>
      </w:pPr>
      <w:r>
        <w:rPr>
          <w:rFonts w:ascii="Baskerville-eText" w:eastAsia="Times New Roman" w:hAnsi="Baskerville-eText"/>
          <w:color w:val="222222"/>
          <w:sz w:val="27"/>
          <w:szCs w:val="27"/>
          <w:shd w:val="clear" w:color="auto" w:fill="FFFFFF"/>
        </w:rPr>
        <w:t>Multiple reform strategies will be required to meet the health care needs of America’s 21st century population. As we strive to rein in costs, identifying what constitutes bad care and declining to pay for it would send a message that we are serious about quality.</w:t>
      </w:r>
    </w:p>
    <w:p w14:paraId="4F8A753F" w14:textId="77777777" w:rsidR="00E56343" w:rsidRDefault="00E56343">
      <w:pPr>
        <w:rPr>
          <w:rFonts w:ascii="Baskerville-eText" w:eastAsia="Times New Roman" w:hAnsi="Baskerville-eText"/>
          <w:color w:val="222222"/>
          <w:sz w:val="27"/>
          <w:szCs w:val="27"/>
          <w:shd w:val="clear" w:color="auto" w:fill="FFFFFF"/>
        </w:rPr>
      </w:pPr>
    </w:p>
    <w:p w14:paraId="0DC0C3C9" w14:textId="77777777" w:rsidR="00E56343" w:rsidRPr="00CA247B" w:rsidRDefault="00E56343">
      <w:pPr>
        <w:rPr>
          <w:rFonts w:eastAsia="Times New Roman"/>
        </w:rPr>
      </w:pPr>
    </w:p>
    <w:p w14:paraId="231AC419" w14:textId="77777777" w:rsidR="00CA247B" w:rsidRDefault="00CA247B"/>
    <w:p w14:paraId="54E1BA90" w14:textId="4C3F63FE" w:rsidR="00CA247B" w:rsidRPr="00CA247B" w:rsidRDefault="00CA247B" w:rsidP="00CA247B">
      <w:pPr>
        <w:rPr>
          <w:rFonts w:ascii="Times New Roman" w:eastAsia="Times New Roman" w:hAnsi="Times New Roman" w:cs="Times New Roman"/>
        </w:rPr>
      </w:pPr>
      <w:r w:rsidRPr="00CA247B">
        <w:rPr>
          <w:rFonts w:ascii="Baskerville-eText" w:eastAsia="Times New Roman" w:hAnsi="Baskerville-eText" w:cs="Times New Roman"/>
          <w:i/>
          <w:iCs/>
          <w:color w:val="222222"/>
          <w:sz w:val="27"/>
          <w:szCs w:val="27"/>
          <w:shd w:val="clear" w:color="auto" w:fill="FFFFFF"/>
        </w:rPr>
        <w:t>Ira Byock, MD, is a palliative care physician and chief medical officer of the</w:t>
      </w:r>
      <w:r w:rsidR="007214DE">
        <w:rPr>
          <w:rFonts w:ascii="Baskerville-eText" w:eastAsia="Times New Roman" w:hAnsi="Baskerville-eText" w:cs="Times New Roman"/>
          <w:i/>
          <w:iCs/>
          <w:color w:val="222222"/>
          <w:sz w:val="27"/>
          <w:szCs w:val="27"/>
          <w:shd w:val="clear" w:color="auto" w:fill="FFFFFF"/>
        </w:rPr>
        <w:t xml:space="preserve"> </w:t>
      </w:r>
      <w:hyperlink r:id="rId19" w:tgtFrame="_blank" w:history="1">
        <w:r w:rsidRPr="00CA247B">
          <w:rPr>
            <w:rFonts w:ascii="Baskerville-eText" w:eastAsia="Times New Roman" w:hAnsi="Baskerville-eText" w:cs="Times New Roman"/>
            <w:i/>
            <w:iCs/>
            <w:color w:val="1FADB6"/>
            <w:sz w:val="27"/>
            <w:szCs w:val="27"/>
          </w:rPr>
          <w:t>Providence Institute for Human Caring</w:t>
        </w:r>
      </w:hyperlink>
      <w:r w:rsidRPr="00CA247B">
        <w:rPr>
          <w:rFonts w:ascii="Baskerville-eText" w:eastAsia="Times New Roman" w:hAnsi="Baskerville-eText" w:cs="Times New Roman"/>
          <w:i/>
          <w:iCs/>
          <w:color w:val="222222"/>
          <w:sz w:val="27"/>
          <w:szCs w:val="27"/>
          <w:shd w:val="clear" w:color="auto" w:fill="FFFFFF"/>
        </w:rPr>
        <w:t> in Torrance, Calif. His books include “Dying Well” and “The Best Care Possible.”</w:t>
      </w:r>
    </w:p>
    <w:p w14:paraId="72BF0B17" w14:textId="77777777" w:rsidR="00CA247B" w:rsidRDefault="00CA247B"/>
    <w:sectPr w:rsidR="00CA247B" w:rsidSect="002375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askerville-eText">
    <w:charset w:val="00"/>
    <w:family w:val="auto"/>
    <w:pitch w:val="variable"/>
    <w:sig w:usb0="80000067" w:usb1="00000000"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ocumentProtection w:edit="readOnly" w:enforcement="1" w:cryptProviderType="rsaFull" w:cryptAlgorithmClass="hash" w:cryptAlgorithmType="typeAny" w:cryptAlgorithmSid="4" w:cryptSpinCount="100000" w:hash="VI9YDpQCFiry9qIYCBgELqtO8Bg=" w:salt="p3jvu9r+C+uY3lu1fUtM0A=="/>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47B"/>
    <w:rsid w:val="00011B26"/>
    <w:rsid w:val="000311D0"/>
    <w:rsid w:val="00032456"/>
    <w:rsid w:val="0008526F"/>
    <w:rsid w:val="000A6FFA"/>
    <w:rsid w:val="00142C8F"/>
    <w:rsid w:val="001460F4"/>
    <w:rsid w:val="00172295"/>
    <w:rsid w:val="001A4B79"/>
    <w:rsid w:val="001C3A27"/>
    <w:rsid w:val="001F0258"/>
    <w:rsid w:val="001F0900"/>
    <w:rsid w:val="001F6BA7"/>
    <w:rsid w:val="00204FDE"/>
    <w:rsid w:val="0023750D"/>
    <w:rsid w:val="00244829"/>
    <w:rsid w:val="003C5F7D"/>
    <w:rsid w:val="00505AF5"/>
    <w:rsid w:val="00545283"/>
    <w:rsid w:val="0058224D"/>
    <w:rsid w:val="006D2F94"/>
    <w:rsid w:val="006F6BB1"/>
    <w:rsid w:val="00703334"/>
    <w:rsid w:val="007214DE"/>
    <w:rsid w:val="00763404"/>
    <w:rsid w:val="00775830"/>
    <w:rsid w:val="00816FA3"/>
    <w:rsid w:val="008A5A45"/>
    <w:rsid w:val="009126EE"/>
    <w:rsid w:val="0096542C"/>
    <w:rsid w:val="009B4045"/>
    <w:rsid w:val="009D3495"/>
    <w:rsid w:val="00AD1AAA"/>
    <w:rsid w:val="00AD2C93"/>
    <w:rsid w:val="00AE28E4"/>
    <w:rsid w:val="00BA6A3E"/>
    <w:rsid w:val="00BD5159"/>
    <w:rsid w:val="00BE22FB"/>
    <w:rsid w:val="00C22DC8"/>
    <w:rsid w:val="00C7682E"/>
    <w:rsid w:val="00CA247B"/>
    <w:rsid w:val="00CA50F9"/>
    <w:rsid w:val="00CD367B"/>
    <w:rsid w:val="00DA379C"/>
    <w:rsid w:val="00E2045A"/>
    <w:rsid w:val="00E56343"/>
    <w:rsid w:val="00F04C75"/>
    <w:rsid w:val="00F223BB"/>
    <w:rsid w:val="00F91E8B"/>
    <w:rsid w:val="00FA419D"/>
    <w:rsid w:val="00FF2B18"/>
    <w:rsid w:val="00FF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3E1D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nger-zone">
    <w:name w:val="danger-zone"/>
    <w:basedOn w:val="Normal"/>
    <w:rsid w:val="00CA247B"/>
    <w:pPr>
      <w:spacing w:before="100" w:beforeAutospacing="1" w:after="100" w:afterAutospacing="1"/>
    </w:pPr>
    <w:rPr>
      <w:rFonts w:ascii="Times New Roman" w:eastAsiaTheme="minorEastAsia" w:hAnsi="Times New Roman" w:cs="Times New Roman"/>
    </w:rPr>
  </w:style>
  <w:style w:type="character" w:customStyle="1" w:styleId="big-cap">
    <w:name w:val="big-cap"/>
    <w:basedOn w:val="DefaultParagraphFont"/>
    <w:rsid w:val="00CA247B"/>
  </w:style>
  <w:style w:type="character" w:customStyle="1" w:styleId="apple-converted-space">
    <w:name w:val="apple-converted-space"/>
    <w:basedOn w:val="DefaultParagraphFont"/>
    <w:rsid w:val="00CA247B"/>
  </w:style>
  <w:style w:type="character" w:styleId="Hyperlink">
    <w:name w:val="Hyperlink"/>
    <w:basedOn w:val="DefaultParagraphFont"/>
    <w:uiPriority w:val="99"/>
    <w:semiHidden/>
    <w:unhideWhenUsed/>
    <w:rsid w:val="00CA247B"/>
    <w:rPr>
      <w:color w:val="0000FF"/>
      <w:u w:val="single"/>
    </w:rPr>
  </w:style>
  <w:style w:type="paragraph" w:styleId="NormalWeb">
    <w:name w:val="Normal (Web)"/>
    <w:basedOn w:val="Normal"/>
    <w:uiPriority w:val="99"/>
    <w:semiHidden/>
    <w:unhideWhenUsed/>
    <w:rsid w:val="00CA247B"/>
    <w:pPr>
      <w:spacing w:before="100" w:beforeAutospacing="1" w:after="100" w:afterAutospacing="1"/>
    </w:pPr>
    <w:rPr>
      <w:rFonts w:ascii="Times New Roman" w:eastAsiaTheme="minorEastAsia" w:hAnsi="Times New Roman" w:cs="Times New Roman"/>
    </w:rPr>
  </w:style>
  <w:style w:type="character" w:customStyle="1" w:styleId="surveyoptiontext1">
    <w:name w:val="survey_option_text1"/>
    <w:basedOn w:val="DefaultParagraphFont"/>
    <w:rsid w:val="00CA247B"/>
  </w:style>
  <w:style w:type="character" w:styleId="Emphasis">
    <w:name w:val="Emphasis"/>
    <w:basedOn w:val="DefaultParagraphFont"/>
    <w:uiPriority w:val="20"/>
    <w:qFormat/>
    <w:rsid w:val="00CA24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4758">
      <w:bodyDiv w:val="1"/>
      <w:marLeft w:val="0"/>
      <w:marRight w:val="0"/>
      <w:marTop w:val="0"/>
      <w:marBottom w:val="0"/>
      <w:divBdr>
        <w:top w:val="none" w:sz="0" w:space="0" w:color="auto"/>
        <w:left w:val="none" w:sz="0" w:space="0" w:color="auto"/>
        <w:bottom w:val="none" w:sz="0" w:space="0" w:color="auto"/>
        <w:right w:val="none" w:sz="0" w:space="0" w:color="auto"/>
      </w:divBdr>
      <w:divsChild>
        <w:div w:id="1127968233">
          <w:marLeft w:val="0"/>
          <w:marRight w:val="0"/>
          <w:marTop w:val="0"/>
          <w:marBottom w:val="0"/>
          <w:divBdr>
            <w:top w:val="none" w:sz="0" w:space="0" w:color="auto"/>
            <w:left w:val="none" w:sz="0" w:space="0" w:color="auto"/>
            <w:bottom w:val="none" w:sz="0" w:space="0" w:color="auto"/>
            <w:right w:val="none" w:sz="0" w:space="0" w:color="auto"/>
          </w:divBdr>
          <w:divsChild>
            <w:div w:id="476650880">
              <w:marLeft w:val="0"/>
              <w:marRight w:val="0"/>
              <w:marTop w:val="0"/>
              <w:marBottom w:val="0"/>
              <w:divBdr>
                <w:top w:val="none" w:sz="0" w:space="0" w:color="auto"/>
                <w:left w:val="none" w:sz="0" w:space="0" w:color="auto"/>
                <w:bottom w:val="none" w:sz="0" w:space="0" w:color="auto"/>
                <w:right w:val="none" w:sz="0" w:space="0" w:color="auto"/>
              </w:divBdr>
              <w:divsChild>
                <w:div w:id="160462864">
                  <w:marLeft w:val="0"/>
                  <w:marRight w:val="0"/>
                  <w:marTop w:val="0"/>
                  <w:marBottom w:val="0"/>
                  <w:divBdr>
                    <w:top w:val="none" w:sz="0" w:space="0" w:color="auto"/>
                    <w:left w:val="none" w:sz="0" w:space="0" w:color="auto"/>
                    <w:bottom w:val="none" w:sz="0" w:space="0" w:color="auto"/>
                    <w:right w:val="none" w:sz="0" w:space="0" w:color="auto"/>
                  </w:divBdr>
                  <w:divsChild>
                    <w:div w:id="816385564">
                      <w:marLeft w:val="0"/>
                      <w:marRight w:val="0"/>
                      <w:marTop w:val="0"/>
                      <w:marBottom w:val="0"/>
                      <w:divBdr>
                        <w:top w:val="none" w:sz="0" w:space="0" w:color="auto"/>
                        <w:left w:val="none" w:sz="0" w:space="0" w:color="auto"/>
                        <w:bottom w:val="none" w:sz="0" w:space="0" w:color="auto"/>
                        <w:right w:val="none" w:sz="0" w:space="0" w:color="auto"/>
                      </w:divBdr>
                    </w:div>
                    <w:div w:id="12278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5537">
          <w:marLeft w:val="0"/>
          <w:marRight w:val="0"/>
          <w:marTop w:val="0"/>
          <w:marBottom w:val="0"/>
          <w:divBdr>
            <w:top w:val="none" w:sz="0" w:space="0" w:color="auto"/>
            <w:left w:val="none" w:sz="0" w:space="0" w:color="auto"/>
            <w:bottom w:val="none" w:sz="0" w:space="0" w:color="auto"/>
            <w:right w:val="none" w:sz="0" w:space="0" w:color="auto"/>
          </w:divBdr>
          <w:divsChild>
            <w:div w:id="34626218">
              <w:marLeft w:val="240"/>
              <w:marRight w:val="240"/>
              <w:marTop w:val="240"/>
              <w:marBottom w:val="240"/>
              <w:divBdr>
                <w:top w:val="none" w:sz="0" w:space="0" w:color="auto"/>
                <w:left w:val="none" w:sz="0" w:space="0" w:color="auto"/>
                <w:bottom w:val="none" w:sz="0" w:space="0" w:color="auto"/>
                <w:right w:val="none" w:sz="0" w:space="0" w:color="auto"/>
              </w:divBdr>
              <w:divsChild>
                <w:div w:id="1963923816">
                  <w:marLeft w:val="0"/>
                  <w:marRight w:val="0"/>
                  <w:marTop w:val="0"/>
                  <w:marBottom w:val="0"/>
                  <w:divBdr>
                    <w:top w:val="none" w:sz="0" w:space="0" w:color="auto"/>
                    <w:left w:val="none" w:sz="0" w:space="0" w:color="auto"/>
                    <w:bottom w:val="none" w:sz="0" w:space="0" w:color="auto"/>
                    <w:right w:val="none" w:sz="0" w:space="0" w:color="auto"/>
                  </w:divBdr>
                  <w:divsChild>
                    <w:div w:id="806244666">
                      <w:marLeft w:val="0"/>
                      <w:marRight w:val="0"/>
                      <w:marTop w:val="0"/>
                      <w:marBottom w:val="0"/>
                      <w:divBdr>
                        <w:top w:val="none" w:sz="0" w:space="0" w:color="auto"/>
                        <w:left w:val="none" w:sz="0" w:space="0" w:color="auto"/>
                        <w:bottom w:val="none" w:sz="0" w:space="0" w:color="auto"/>
                        <w:right w:val="none" w:sz="0" w:space="0" w:color="auto"/>
                      </w:divBdr>
                    </w:div>
                    <w:div w:id="1045836511">
                      <w:marLeft w:val="0"/>
                      <w:marRight w:val="0"/>
                      <w:marTop w:val="180"/>
                      <w:marBottom w:val="150"/>
                      <w:divBdr>
                        <w:top w:val="none" w:sz="0" w:space="0" w:color="auto"/>
                        <w:left w:val="none" w:sz="0" w:space="0" w:color="auto"/>
                        <w:bottom w:val="none" w:sz="0" w:space="0" w:color="auto"/>
                        <w:right w:val="none" w:sz="0" w:space="0" w:color="auto"/>
                      </w:divBdr>
                    </w:div>
                    <w:div w:id="809055579">
                      <w:marLeft w:val="0"/>
                      <w:marRight w:val="0"/>
                      <w:marTop w:val="0"/>
                      <w:marBottom w:val="0"/>
                      <w:divBdr>
                        <w:top w:val="none" w:sz="0" w:space="0" w:color="auto"/>
                        <w:left w:val="none" w:sz="0" w:space="0" w:color="auto"/>
                        <w:bottom w:val="none" w:sz="0" w:space="0" w:color="auto"/>
                        <w:right w:val="none" w:sz="0" w:space="0" w:color="auto"/>
                      </w:divBdr>
                      <w:divsChild>
                        <w:div w:id="766773332">
                          <w:marLeft w:val="0"/>
                          <w:marRight w:val="0"/>
                          <w:marTop w:val="0"/>
                          <w:marBottom w:val="0"/>
                          <w:divBdr>
                            <w:top w:val="none" w:sz="0" w:space="0" w:color="auto"/>
                            <w:left w:val="none" w:sz="0" w:space="0" w:color="auto"/>
                            <w:bottom w:val="none" w:sz="0" w:space="0" w:color="auto"/>
                            <w:right w:val="none" w:sz="0" w:space="0" w:color="auto"/>
                          </w:divBdr>
                        </w:div>
                        <w:div w:id="2112623830">
                          <w:marLeft w:val="0"/>
                          <w:marRight w:val="0"/>
                          <w:marTop w:val="0"/>
                          <w:marBottom w:val="0"/>
                          <w:divBdr>
                            <w:top w:val="none" w:sz="0" w:space="0" w:color="auto"/>
                            <w:left w:val="none" w:sz="0" w:space="0" w:color="auto"/>
                            <w:bottom w:val="none" w:sz="0" w:space="0" w:color="auto"/>
                            <w:right w:val="none" w:sz="0" w:space="0" w:color="auto"/>
                          </w:divBdr>
                        </w:div>
                        <w:div w:id="14482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1433">
                  <w:marLeft w:val="0"/>
                  <w:marRight w:val="0"/>
                  <w:marTop w:val="0"/>
                  <w:marBottom w:val="0"/>
                  <w:divBdr>
                    <w:top w:val="none" w:sz="0" w:space="0" w:color="auto"/>
                    <w:left w:val="none" w:sz="0" w:space="0" w:color="auto"/>
                    <w:bottom w:val="none" w:sz="0" w:space="0" w:color="auto"/>
                    <w:right w:val="none" w:sz="0" w:space="0" w:color="auto"/>
                  </w:divBdr>
                  <w:divsChild>
                    <w:div w:id="1212496121">
                      <w:marLeft w:val="0"/>
                      <w:marRight w:val="0"/>
                      <w:marTop w:val="0"/>
                      <w:marBottom w:val="0"/>
                      <w:divBdr>
                        <w:top w:val="none" w:sz="0" w:space="0" w:color="auto"/>
                        <w:left w:val="none" w:sz="0" w:space="0" w:color="auto"/>
                        <w:bottom w:val="none" w:sz="0" w:space="0" w:color="auto"/>
                        <w:right w:val="none" w:sz="0" w:space="0" w:color="auto"/>
                      </w:divBdr>
                    </w:div>
                    <w:div w:id="1263535885">
                      <w:marLeft w:val="0"/>
                      <w:marRight w:val="0"/>
                      <w:marTop w:val="180"/>
                      <w:marBottom w:val="180"/>
                      <w:divBdr>
                        <w:top w:val="none" w:sz="0" w:space="0" w:color="auto"/>
                        <w:left w:val="none" w:sz="0" w:space="0" w:color="auto"/>
                        <w:bottom w:val="none" w:sz="0" w:space="0" w:color="auto"/>
                        <w:right w:val="none" w:sz="0" w:space="0" w:color="auto"/>
                      </w:divBdr>
                    </w:div>
                    <w:div w:id="201669763">
                      <w:marLeft w:val="0"/>
                      <w:marRight w:val="0"/>
                      <w:marTop w:val="180"/>
                      <w:marBottom w:val="180"/>
                      <w:divBdr>
                        <w:top w:val="none" w:sz="0" w:space="0" w:color="auto"/>
                        <w:left w:val="none" w:sz="0" w:space="0" w:color="auto"/>
                        <w:bottom w:val="none" w:sz="0" w:space="0" w:color="auto"/>
                        <w:right w:val="none" w:sz="0" w:space="0" w:color="auto"/>
                      </w:divBdr>
                    </w:div>
                  </w:divsChild>
                </w:div>
                <w:div w:id="805898463">
                  <w:marLeft w:val="0"/>
                  <w:marRight w:val="0"/>
                  <w:marTop w:val="0"/>
                  <w:marBottom w:val="0"/>
                  <w:divBdr>
                    <w:top w:val="none" w:sz="0" w:space="0" w:color="auto"/>
                    <w:left w:val="none" w:sz="0" w:space="0" w:color="auto"/>
                    <w:bottom w:val="none" w:sz="0" w:space="0" w:color="auto"/>
                    <w:right w:val="none" w:sz="0" w:space="0" w:color="auto"/>
                  </w:divBdr>
                  <w:divsChild>
                    <w:div w:id="1672678763">
                      <w:marLeft w:val="0"/>
                      <w:marRight w:val="0"/>
                      <w:marTop w:val="0"/>
                      <w:marBottom w:val="0"/>
                      <w:divBdr>
                        <w:top w:val="none" w:sz="0" w:space="0" w:color="auto"/>
                        <w:left w:val="none" w:sz="0" w:space="0" w:color="auto"/>
                        <w:bottom w:val="none" w:sz="0" w:space="0" w:color="auto"/>
                        <w:right w:val="none" w:sz="0" w:space="0" w:color="auto"/>
                      </w:divBdr>
                    </w:div>
                    <w:div w:id="1465078216">
                      <w:marLeft w:val="0"/>
                      <w:marRight w:val="0"/>
                      <w:marTop w:val="180"/>
                      <w:marBottom w:val="180"/>
                      <w:divBdr>
                        <w:top w:val="none" w:sz="0" w:space="0" w:color="auto"/>
                        <w:left w:val="none" w:sz="0" w:space="0" w:color="auto"/>
                        <w:bottom w:val="none" w:sz="0" w:space="0" w:color="auto"/>
                        <w:right w:val="none" w:sz="0" w:space="0" w:color="auto"/>
                      </w:divBdr>
                    </w:div>
                    <w:div w:id="2000690099">
                      <w:marLeft w:val="0"/>
                      <w:marRight w:val="0"/>
                      <w:marTop w:val="180"/>
                      <w:marBottom w:val="180"/>
                      <w:divBdr>
                        <w:top w:val="none" w:sz="0" w:space="0" w:color="auto"/>
                        <w:left w:val="none" w:sz="0" w:space="0" w:color="auto"/>
                        <w:bottom w:val="none" w:sz="0" w:space="0" w:color="auto"/>
                        <w:right w:val="none" w:sz="0" w:space="0" w:color="auto"/>
                      </w:divBdr>
                    </w:div>
                  </w:divsChild>
                </w:div>
                <w:div w:id="1889485972">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81219334">
      <w:bodyDiv w:val="1"/>
      <w:marLeft w:val="0"/>
      <w:marRight w:val="0"/>
      <w:marTop w:val="0"/>
      <w:marBottom w:val="0"/>
      <w:divBdr>
        <w:top w:val="none" w:sz="0" w:space="0" w:color="auto"/>
        <w:left w:val="none" w:sz="0" w:space="0" w:color="auto"/>
        <w:bottom w:val="none" w:sz="0" w:space="0" w:color="auto"/>
        <w:right w:val="none" w:sz="0" w:space="0" w:color="auto"/>
      </w:divBdr>
    </w:div>
    <w:div w:id="556864956">
      <w:bodyDiv w:val="1"/>
      <w:marLeft w:val="0"/>
      <w:marRight w:val="0"/>
      <w:marTop w:val="0"/>
      <w:marBottom w:val="0"/>
      <w:divBdr>
        <w:top w:val="none" w:sz="0" w:space="0" w:color="auto"/>
        <w:left w:val="none" w:sz="0" w:space="0" w:color="auto"/>
        <w:bottom w:val="none" w:sz="0" w:space="0" w:color="auto"/>
        <w:right w:val="none" w:sz="0" w:space="0" w:color="auto"/>
      </w:divBdr>
    </w:div>
    <w:div w:id="712274405">
      <w:bodyDiv w:val="1"/>
      <w:marLeft w:val="0"/>
      <w:marRight w:val="0"/>
      <w:marTop w:val="0"/>
      <w:marBottom w:val="0"/>
      <w:divBdr>
        <w:top w:val="none" w:sz="0" w:space="0" w:color="auto"/>
        <w:left w:val="none" w:sz="0" w:space="0" w:color="auto"/>
        <w:bottom w:val="none" w:sz="0" w:space="0" w:color="auto"/>
        <w:right w:val="none" w:sz="0" w:space="0" w:color="auto"/>
      </w:divBdr>
      <w:divsChild>
        <w:div w:id="777023676">
          <w:marLeft w:val="0"/>
          <w:marRight w:val="0"/>
          <w:marTop w:val="0"/>
          <w:marBottom w:val="0"/>
          <w:divBdr>
            <w:top w:val="none" w:sz="0" w:space="0" w:color="auto"/>
            <w:left w:val="none" w:sz="0" w:space="0" w:color="auto"/>
            <w:bottom w:val="none" w:sz="0" w:space="0" w:color="auto"/>
            <w:right w:val="none" w:sz="0" w:space="0" w:color="auto"/>
          </w:divBdr>
          <w:divsChild>
            <w:div w:id="559093169">
              <w:marLeft w:val="0"/>
              <w:marRight w:val="0"/>
              <w:marTop w:val="0"/>
              <w:marBottom w:val="0"/>
              <w:divBdr>
                <w:top w:val="none" w:sz="0" w:space="0" w:color="auto"/>
                <w:left w:val="none" w:sz="0" w:space="0" w:color="auto"/>
                <w:bottom w:val="none" w:sz="0" w:space="0" w:color="auto"/>
                <w:right w:val="none" w:sz="0" w:space="0" w:color="auto"/>
              </w:divBdr>
              <w:divsChild>
                <w:div w:id="1116676523">
                  <w:marLeft w:val="0"/>
                  <w:marRight w:val="0"/>
                  <w:marTop w:val="0"/>
                  <w:marBottom w:val="0"/>
                  <w:divBdr>
                    <w:top w:val="none" w:sz="0" w:space="0" w:color="auto"/>
                    <w:left w:val="none" w:sz="0" w:space="0" w:color="auto"/>
                    <w:bottom w:val="none" w:sz="0" w:space="0" w:color="auto"/>
                    <w:right w:val="none" w:sz="0" w:space="0" w:color="auto"/>
                  </w:divBdr>
                  <w:divsChild>
                    <w:div w:id="1616446929">
                      <w:marLeft w:val="0"/>
                      <w:marRight w:val="0"/>
                      <w:marTop w:val="0"/>
                      <w:marBottom w:val="0"/>
                      <w:divBdr>
                        <w:top w:val="none" w:sz="0" w:space="0" w:color="auto"/>
                        <w:left w:val="none" w:sz="0" w:space="0" w:color="auto"/>
                        <w:bottom w:val="none" w:sz="0" w:space="0" w:color="auto"/>
                        <w:right w:val="none" w:sz="0" w:space="0" w:color="auto"/>
                      </w:divBdr>
                    </w:div>
                    <w:div w:id="5541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2666">
          <w:marLeft w:val="0"/>
          <w:marRight w:val="0"/>
          <w:marTop w:val="0"/>
          <w:marBottom w:val="0"/>
          <w:divBdr>
            <w:top w:val="none" w:sz="0" w:space="0" w:color="auto"/>
            <w:left w:val="none" w:sz="0" w:space="0" w:color="auto"/>
            <w:bottom w:val="none" w:sz="0" w:space="0" w:color="auto"/>
            <w:right w:val="none" w:sz="0" w:space="0" w:color="auto"/>
          </w:divBdr>
          <w:divsChild>
            <w:div w:id="439378058">
              <w:marLeft w:val="240"/>
              <w:marRight w:val="240"/>
              <w:marTop w:val="240"/>
              <w:marBottom w:val="240"/>
              <w:divBdr>
                <w:top w:val="none" w:sz="0" w:space="0" w:color="auto"/>
                <w:left w:val="none" w:sz="0" w:space="0" w:color="auto"/>
                <w:bottom w:val="none" w:sz="0" w:space="0" w:color="auto"/>
                <w:right w:val="none" w:sz="0" w:space="0" w:color="auto"/>
              </w:divBdr>
              <w:divsChild>
                <w:div w:id="1318654977">
                  <w:marLeft w:val="0"/>
                  <w:marRight w:val="0"/>
                  <w:marTop w:val="0"/>
                  <w:marBottom w:val="0"/>
                  <w:divBdr>
                    <w:top w:val="none" w:sz="0" w:space="0" w:color="auto"/>
                    <w:left w:val="none" w:sz="0" w:space="0" w:color="auto"/>
                    <w:bottom w:val="none" w:sz="0" w:space="0" w:color="auto"/>
                    <w:right w:val="none" w:sz="0" w:space="0" w:color="auto"/>
                  </w:divBdr>
                  <w:divsChild>
                    <w:div w:id="39017749">
                      <w:marLeft w:val="0"/>
                      <w:marRight w:val="0"/>
                      <w:marTop w:val="0"/>
                      <w:marBottom w:val="0"/>
                      <w:divBdr>
                        <w:top w:val="none" w:sz="0" w:space="0" w:color="auto"/>
                        <w:left w:val="none" w:sz="0" w:space="0" w:color="auto"/>
                        <w:bottom w:val="none" w:sz="0" w:space="0" w:color="auto"/>
                        <w:right w:val="none" w:sz="0" w:space="0" w:color="auto"/>
                      </w:divBdr>
                    </w:div>
                    <w:div w:id="237834744">
                      <w:marLeft w:val="0"/>
                      <w:marRight w:val="0"/>
                      <w:marTop w:val="180"/>
                      <w:marBottom w:val="150"/>
                      <w:divBdr>
                        <w:top w:val="none" w:sz="0" w:space="0" w:color="auto"/>
                        <w:left w:val="none" w:sz="0" w:space="0" w:color="auto"/>
                        <w:bottom w:val="none" w:sz="0" w:space="0" w:color="auto"/>
                        <w:right w:val="none" w:sz="0" w:space="0" w:color="auto"/>
                      </w:divBdr>
                    </w:div>
                    <w:div w:id="1418137937">
                      <w:marLeft w:val="0"/>
                      <w:marRight w:val="0"/>
                      <w:marTop w:val="0"/>
                      <w:marBottom w:val="0"/>
                      <w:divBdr>
                        <w:top w:val="none" w:sz="0" w:space="0" w:color="auto"/>
                        <w:left w:val="none" w:sz="0" w:space="0" w:color="auto"/>
                        <w:bottom w:val="none" w:sz="0" w:space="0" w:color="auto"/>
                        <w:right w:val="none" w:sz="0" w:space="0" w:color="auto"/>
                      </w:divBdr>
                      <w:divsChild>
                        <w:div w:id="1690908056">
                          <w:marLeft w:val="0"/>
                          <w:marRight w:val="0"/>
                          <w:marTop w:val="0"/>
                          <w:marBottom w:val="0"/>
                          <w:divBdr>
                            <w:top w:val="none" w:sz="0" w:space="0" w:color="auto"/>
                            <w:left w:val="none" w:sz="0" w:space="0" w:color="auto"/>
                            <w:bottom w:val="none" w:sz="0" w:space="0" w:color="auto"/>
                            <w:right w:val="none" w:sz="0" w:space="0" w:color="auto"/>
                          </w:divBdr>
                        </w:div>
                        <w:div w:id="423502734">
                          <w:marLeft w:val="0"/>
                          <w:marRight w:val="0"/>
                          <w:marTop w:val="0"/>
                          <w:marBottom w:val="0"/>
                          <w:divBdr>
                            <w:top w:val="none" w:sz="0" w:space="0" w:color="auto"/>
                            <w:left w:val="none" w:sz="0" w:space="0" w:color="auto"/>
                            <w:bottom w:val="none" w:sz="0" w:space="0" w:color="auto"/>
                            <w:right w:val="none" w:sz="0" w:space="0" w:color="auto"/>
                          </w:divBdr>
                        </w:div>
                        <w:div w:id="5260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2323">
                  <w:marLeft w:val="0"/>
                  <w:marRight w:val="0"/>
                  <w:marTop w:val="0"/>
                  <w:marBottom w:val="0"/>
                  <w:divBdr>
                    <w:top w:val="none" w:sz="0" w:space="0" w:color="auto"/>
                    <w:left w:val="none" w:sz="0" w:space="0" w:color="auto"/>
                    <w:bottom w:val="none" w:sz="0" w:space="0" w:color="auto"/>
                    <w:right w:val="none" w:sz="0" w:space="0" w:color="auto"/>
                  </w:divBdr>
                  <w:divsChild>
                    <w:div w:id="1913277207">
                      <w:marLeft w:val="0"/>
                      <w:marRight w:val="0"/>
                      <w:marTop w:val="0"/>
                      <w:marBottom w:val="0"/>
                      <w:divBdr>
                        <w:top w:val="none" w:sz="0" w:space="0" w:color="auto"/>
                        <w:left w:val="none" w:sz="0" w:space="0" w:color="auto"/>
                        <w:bottom w:val="none" w:sz="0" w:space="0" w:color="auto"/>
                        <w:right w:val="none" w:sz="0" w:space="0" w:color="auto"/>
                      </w:divBdr>
                    </w:div>
                    <w:div w:id="1366758343">
                      <w:marLeft w:val="0"/>
                      <w:marRight w:val="0"/>
                      <w:marTop w:val="180"/>
                      <w:marBottom w:val="180"/>
                      <w:divBdr>
                        <w:top w:val="none" w:sz="0" w:space="0" w:color="auto"/>
                        <w:left w:val="none" w:sz="0" w:space="0" w:color="auto"/>
                        <w:bottom w:val="none" w:sz="0" w:space="0" w:color="auto"/>
                        <w:right w:val="none" w:sz="0" w:space="0" w:color="auto"/>
                      </w:divBdr>
                    </w:div>
                    <w:div w:id="1091394185">
                      <w:marLeft w:val="0"/>
                      <w:marRight w:val="0"/>
                      <w:marTop w:val="180"/>
                      <w:marBottom w:val="180"/>
                      <w:divBdr>
                        <w:top w:val="none" w:sz="0" w:space="0" w:color="auto"/>
                        <w:left w:val="none" w:sz="0" w:space="0" w:color="auto"/>
                        <w:bottom w:val="none" w:sz="0" w:space="0" w:color="auto"/>
                        <w:right w:val="none" w:sz="0" w:space="0" w:color="auto"/>
                      </w:divBdr>
                    </w:div>
                  </w:divsChild>
                </w:div>
                <w:div w:id="287472039">
                  <w:marLeft w:val="0"/>
                  <w:marRight w:val="0"/>
                  <w:marTop w:val="0"/>
                  <w:marBottom w:val="0"/>
                  <w:divBdr>
                    <w:top w:val="none" w:sz="0" w:space="0" w:color="auto"/>
                    <w:left w:val="none" w:sz="0" w:space="0" w:color="auto"/>
                    <w:bottom w:val="none" w:sz="0" w:space="0" w:color="auto"/>
                    <w:right w:val="none" w:sz="0" w:space="0" w:color="auto"/>
                  </w:divBdr>
                  <w:divsChild>
                    <w:div w:id="1862476776">
                      <w:marLeft w:val="0"/>
                      <w:marRight w:val="0"/>
                      <w:marTop w:val="0"/>
                      <w:marBottom w:val="0"/>
                      <w:divBdr>
                        <w:top w:val="none" w:sz="0" w:space="0" w:color="auto"/>
                        <w:left w:val="none" w:sz="0" w:space="0" w:color="auto"/>
                        <w:bottom w:val="none" w:sz="0" w:space="0" w:color="auto"/>
                        <w:right w:val="none" w:sz="0" w:space="0" w:color="auto"/>
                      </w:divBdr>
                    </w:div>
                    <w:div w:id="434061597">
                      <w:marLeft w:val="0"/>
                      <w:marRight w:val="0"/>
                      <w:marTop w:val="180"/>
                      <w:marBottom w:val="180"/>
                      <w:divBdr>
                        <w:top w:val="none" w:sz="0" w:space="0" w:color="auto"/>
                        <w:left w:val="none" w:sz="0" w:space="0" w:color="auto"/>
                        <w:bottom w:val="none" w:sz="0" w:space="0" w:color="auto"/>
                        <w:right w:val="none" w:sz="0" w:space="0" w:color="auto"/>
                      </w:divBdr>
                    </w:div>
                    <w:div w:id="213390121">
                      <w:marLeft w:val="0"/>
                      <w:marRight w:val="0"/>
                      <w:marTop w:val="180"/>
                      <w:marBottom w:val="180"/>
                      <w:divBdr>
                        <w:top w:val="none" w:sz="0" w:space="0" w:color="auto"/>
                        <w:left w:val="none" w:sz="0" w:space="0" w:color="auto"/>
                        <w:bottom w:val="none" w:sz="0" w:space="0" w:color="auto"/>
                        <w:right w:val="none" w:sz="0" w:space="0" w:color="auto"/>
                      </w:divBdr>
                    </w:div>
                  </w:divsChild>
                </w:div>
                <w:div w:id="821770845">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900217549">
      <w:bodyDiv w:val="1"/>
      <w:marLeft w:val="0"/>
      <w:marRight w:val="0"/>
      <w:marTop w:val="0"/>
      <w:marBottom w:val="0"/>
      <w:divBdr>
        <w:top w:val="none" w:sz="0" w:space="0" w:color="auto"/>
        <w:left w:val="none" w:sz="0" w:space="0" w:color="auto"/>
        <w:bottom w:val="none" w:sz="0" w:space="0" w:color="auto"/>
        <w:right w:val="none" w:sz="0" w:space="0" w:color="auto"/>
      </w:divBdr>
    </w:div>
    <w:div w:id="1155536064">
      <w:bodyDiv w:val="1"/>
      <w:marLeft w:val="0"/>
      <w:marRight w:val="0"/>
      <w:marTop w:val="0"/>
      <w:marBottom w:val="0"/>
      <w:divBdr>
        <w:top w:val="none" w:sz="0" w:space="0" w:color="auto"/>
        <w:left w:val="none" w:sz="0" w:space="0" w:color="auto"/>
        <w:bottom w:val="none" w:sz="0" w:space="0" w:color="auto"/>
        <w:right w:val="none" w:sz="0" w:space="0" w:color="auto"/>
      </w:divBdr>
    </w:div>
    <w:div w:id="1273899613">
      <w:bodyDiv w:val="1"/>
      <w:marLeft w:val="0"/>
      <w:marRight w:val="0"/>
      <w:marTop w:val="0"/>
      <w:marBottom w:val="0"/>
      <w:divBdr>
        <w:top w:val="none" w:sz="0" w:space="0" w:color="auto"/>
        <w:left w:val="none" w:sz="0" w:space="0" w:color="auto"/>
        <w:bottom w:val="none" w:sz="0" w:space="0" w:color="auto"/>
        <w:right w:val="none" w:sz="0" w:space="0" w:color="auto"/>
      </w:divBdr>
    </w:div>
    <w:div w:id="1541283522">
      <w:bodyDiv w:val="1"/>
      <w:marLeft w:val="0"/>
      <w:marRight w:val="0"/>
      <w:marTop w:val="0"/>
      <w:marBottom w:val="0"/>
      <w:divBdr>
        <w:top w:val="none" w:sz="0" w:space="0" w:color="auto"/>
        <w:left w:val="none" w:sz="0" w:space="0" w:color="auto"/>
        <w:bottom w:val="none" w:sz="0" w:space="0" w:color="auto"/>
        <w:right w:val="none" w:sz="0" w:space="0" w:color="auto"/>
      </w:divBdr>
    </w:div>
    <w:div w:id="15783260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iom.edu/~/media/Files/Report%20Files/2001/Crossing-the-Quality-Chasm/Quality%20Chasm%202001%20%20report%20brief.pdf"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choosingwisely.org/" TargetMode="External"/><Relationship Id="rId11" Type="http://schemas.openxmlformats.org/officeDocument/2006/relationships/hyperlink" Target="http://www.choosingwisely.org/clinician-lists/american-academy-hospice-palliative-care-percutaneous-feeding-tubes-in-patients-with-dementia/" TargetMode="External"/><Relationship Id="rId12" Type="http://schemas.openxmlformats.org/officeDocument/2006/relationships/hyperlink" Target="http://www.astro.org/uploadedFiles/Main_Site/Clinical_Practice/Guidelines/ASTRO_bone_mets_guideline_full_version.pdf" TargetMode="External"/><Relationship Id="rId13" Type="http://schemas.openxmlformats.org/officeDocument/2006/relationships/hyperlink" Target="http://www.choosingwisely.org/clinician-lists/american-society-radiation-oncology-extended-fractionation-schemes-for-palliation-of-bone-metastases/" TargetMode="External"/><Relationship Id="rId14" Type="http://schemas.openxmlformats.org/officeDocument/2006/relationships/hyperlink" Target="http://www.ncbi.nlm.nih.gov/pmc/articles/PMC4277868/" TargetMode="External"/><Relationship Id="rId15" Type="http://schemas.openxmlformats.org/officeDocument/2006/relationships/hyperlink" Target="https://www.statnews.com/2016/06/06/cancer-patients-end-of-life/" TargetMode="External"/><Relationship Id="rId16" Type="http://schemas.openxmlformats.org/officeDocument/2006/relationships/hyperlink" Target="http://www.nytimes.com/2009/08/14/health/policy/14panel.html?_r=0" TargetMode="External"/><Relationship Id="rId17" Type="http://schemas.openxmlformats.org/officeDocument/2006/relationships/hyperlink" Target="https://www.cms.gov/medicare/medicare-fee-for-service-payment/acuteinpatientpps/readmissions-reduction-program.html" TargetMode="External"/><Relationship Id="rId18" Type="http://schemas.openxmlformats.org/officeDocument/2006/relationships/hyperlink" Target="http://www.aha.org/research/reports/tw/15mar-tw-readmissions.pdf" TargetMode="External"/><Relationship Id="rId19" Type="http://schemas.openxmlformats.org/officeDocument/2006/relationships/hyperlink" Target="http://www.providence.org/institute-for-human-caring"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hyperlink" Target="http://www.ispor.org/news/articles/March-April2014/IC_Vol20_Issue2_Economic_Eval_Financial_Toxicity_A_Growing_Concern_Among_Cancer_Patients_in_the_United_States.pdf" TargetMode="External"/><Relationship Id="rId7" Type="http://schemas.openxmlformats.org/officeDocument/2006/relationships/hyperlink" Target="http://www.wsj.com/articles/combination-drug-therapies-for-cancer-show-promise-at-higher-potential-cost-1465141936" TargetMode="External"/><Relationship Id="rId8" Type="http://schemas.openxmlformats.org/officeDocument/2006/relationships/hyperlink" Target="http://am.asco.org/daratumumab-addition-improves-outcomes-multiple-myeloma-cost-issues-rais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1189</Words>
  <Characters>6782</Characters>
  <Application>Microsoft Macintosh Word</Application>
  <DocSecurity>8</DocSecurity>
  <Lines>56</Lines>
  <Paragraphs>15</Paragraphs>
  <ScaleCrop>false</ScaleCrop>
  <LinksUpToDate>false</LinksUpToDate>
  <CharactersWithSpaces>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 Byock</dc:creator>
  <cp:keywords/>
  <dc:description/>
  <cp:lastModifiedBy>Ira Byock</cp:lastModifiedBy>
  <cp:revision>8</cp:revision>
  <dcterms:created xsi:type="dcterms:W3CDTF">2016-06-11T16:24:00Z</dcterms:created>
  <dcterms:modified xsi:type="dcterms:W3CDTF">2016-07-03T16:58:00Z</dcterms:modified>
</cp:coreProperties>
</file>